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1"/>
        <w:ind w:left="0" w:right="0" w:firstLine="0"/>
        <w:spacing w:before="322" w:after="322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48"/>
        </w:rPr>
        <w:t xml:space="preserve">Troina, gli studenti dell’Istituto Don Bosco-Majorana hanno realizzato un e-commerce con idee regalo da loro preparate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8" w:tooltip="https://www.telenicosia.it/troina-gli-studenti-dellistituto-don-bosco-majorana-hanno-realizzato-un-e-commerce-con-idee-regalo-da-loro-preparate/" w:history="1">
        <w:r>
          <w:rPr>
            <w:rStyle w:val="172"/>
            <w:rFonts w:ascii="Times New Roman" w:hAnsi="Times New Roman" w:cs="Times New Roman" w:eastAsia="Times New Roman"/>
            <w:color w:val="0000EE"/>
            <w:sz w:val="24"/>
            <w:u w:val="none"/>
          </w:rPr>
          <w:t xml:space="preserve">7 Dicembre 2022</w:t>
        </w:r>
      </w:hyperlink>
      <w:r>
        <w:rPr>
          <w:rFonts w:ascii="Times New Roman" w:hAnsi="Times New Roman" w:cs="Times New Roman" w:eastAsia="Times New Roman"/>
          <w:color w:val="000000"/>
          <w:sz w:val="24"/>
        </w:rPr>
        <w:t xml:space="preserve"> </w:t>
      </w:r>
      <w:hyperlink r:id="rId9" w:tooltip="https://www.telenicosia.it/author/redazione/" w:history="1">
        <w:r>
          <w:rPr>
            <w:rStyle w:val="172"/>
            <w:rFonts w:ascii="Times New Roman" w:hAnsi="Times New Roman" w:cs="Times New Roman" w:eastAsia="Times New Roman"/>
            <w:color w:val="0000EE"/>
            <w:sz w:val="24"/>
            <w:u w:val="single"/>
          </w:rPr>
          <w:t xml:space="preserve">redazione telenicosia</w:t>
        </w:r>
      </w:hyperlink>
      <w:r/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0" cy="3219450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4022442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715000" cy="32194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0.0pt;height:253.5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Condividi l'articolo su: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120" w:right="120" w:firstLine="0"/>
        <w:spacing w:before="120" w:after="12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Nell’ambito del bando finanziato dal Ministero dello Sviluppo Economico, promosso in collaborazione con il Ministero dell’Istruzione, per diffondere la consapevolezza e accrescere le competenze delle nuove generazioni sul consumo sostenibile e responsabile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, l’Istituto omnicomprensivo “Don Bosco-Majorana” di Troina si aggiudica uno dei 150 premi a livello nazionale per realizzare il progetto “Saper(e)Consumare, L’E-commerce entra a Scuola”.</w:t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Si chiama E-Mangitillu ed è il negozio online dove poter acquistare squisite “Licchità” natalizie preparate con passione, senza additivi chimici e conservanti.</w:t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Tutti i prodotti sono realizzati artigianalmente, attraverso l’utilizzo di materie locali, dagli studenti dell’indirizzo IPSEOA e commercializzati dagli studenti dell’indirizzo tecnico commerciale in collaborazione con Enhood, senza scopo di lucro.</w:t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All’interno del sito https://www.enhood.it/emangitillu/, costruito con toni divertenti ed eccentrici, dal marchio tipicamente siculo, è possibile trovare una vasta gamma di prodotti come i classici cantucci o i biscotti al sambuco di Troina, o ancora diver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se varietà di liquori artigianali.</w:t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Con il progetto Saper(e)Consumare l’istituto scolastico pone degli obiettivi chiari sul presente e il futuro dei suoi studenti. Guarda sia alle competenze sullo sviluppo sostenibile sia al suo legame, in chiave moderna, al mondo digitale. Queste le parole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della professoressa Concetta Furia che ha presentato (assieme al prof. La Placa oggi trasferito in altra scuola) il progetto e ne sta seguendo la realizzazione: «E’ il secondo anno che gli studenti dell’indirizzo alberghiero si cimentano nella produzione e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vendita di liquori e biscotti in occasione delle festività. L’impegno organizzativo profuso dai docenti che coordinano l’attività è notevole ma la soddisfazione che leggiamo negli occhi dei ragazzi quando riescono a vendere i loro prodotti ripaga di ogni 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sforzo. Quest’anno poi la sfida è ancora più grande perché il nostro potenziale</w:t>
        <w:br/>
        <w:t xml:space="preserve"> mercato è amplificato dalla piattaforma digitale. Un’esperienza di notevole valenza formativa per gli studenti che non solo hanno sperimentato il lavoro di gruppo, imparato le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regole della domanda e dell’offerta, studiato azioni di marketing e pubblicità ma soprattutto hanno potuto sfruttare le potenzialità della rete in modo creativo e costruttivo con la realizzazione del loro sito e-commerce.»</w:t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Entusiasmo e speranza si legge nelle parole del dott. Giovanni Ruberto, esperto e-commerce selezionato per il progetto:</w:t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“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Sono onorato di poter trasmettere competenze e conoscenze digitali, la cui domanda è in costante crescita nel mercato del lavoro, a giovani appassionati e dinamici. In tutto il mondo l’e-commerce è trattato a scuola solo in Cina; da adesso anche a Troina! 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Complimenti ai dirigenti e ai professori dell’Istituto per l’impegno nell’offrire agli studenti e dunque al territorio una formazione all’avanguardia e a passo con i tempi. Auspico che, entro la conclusione del progetto per il quale sono stato selezionato </w:t>
      </w:r>
      <w:r>
        <w:rPr>
          <w:rFonts w:ascii="Times New Roman" w:hAnsi="Times New Roman" w:cs="Times New Roman" w:eastAsia="Times New Roman"/>
          <w:i/>
          <w:color w:val="000000"/>
          <w:sz w:val="24"/>
        </w:rPr>
        <w:t xml:space="preserve">in qualità di esperto e-commerce, gli studenti possano appassionarsi ai temi del marketing digitale e della vendita online al punto da farne una professione, preferibilmente senza necessariamente andare via da questa terra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“.</w:t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Sono rimaste le ultime ore per acquistare i prodotti della scuola, prenotabili entro giovedì 8 dicembre. Il ritiro avverrà dal 19 al 21 presso la sede dell’istituto scolastico in via Aldo Moro 47, Troina. Per riceverli a casa, invece, basterà pagare un con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tributo di spedizione pari ad € 9,90.</w:t>
      </w:r>
      <w:r/>
    </w:p>
    <w:p>
      <w:pPr>
        <w:ind w:left="0" w:right="0" w:firstLine="0"/>
        <w:jc w:val="both"/>
        <w:spacing w:before="240" w:after="24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Un sentito ringraziamento agli studenti della classe III E che hanno realizzato i prodotti, agli studenti della classe III F che hanno curato le vendite e a Flavio Fiore, Francesco Calabrese, Gabriele Ferruzza, Luigi Calaciura, Ketty Siciliano e Antony For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lano che hanno costruito il sito.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it-IT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telenicosia.it/troina-gli-studenti-dellistituto-don-bosco-majorana-hanno-realizzato-un-e-commerce-con-idee-regalo-da-loro-preparate/" TargetMode="External"/><Relationship Id="rId9" Type="http://schemas.openxmlformats.org/officeDocument/2006/relationships/hyperlink" Target="https://www.telenicosia.it/author/redazione/" TargetMode="External"/><Relationship Id="rId10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2022-12-09T11:03:23Z</dcterms:modified>
</cp:coreProperties>
</file>